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67FA0F9F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</w:t>
      </w:r>
      <w:r w:rsidR="00626BDE">
        <w:rPr>
          <w:rFonts w:ascii="Arial" w:hAnsi="Arial" w:cs="Arial"/>
          <w:b/>
          <w:sz w:val="24"/>
          <w:szCs w:val="24"/>
        </w:rPr>
        <w:t>1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C94AC7">
        <w:rPr>
          <w:rFonts w:ascii="Arial" w:hAnsi="Arial" w:cs="Arial"/>
          <w:b/>
          <w:sz w:val="24"/>
          <w:szCs w:val="24"/>
        </w:rPr>
        <w:t>bis-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467C2" w:rsidRPr="008467C2">
        <w:rPr>
          <w:rFonts w:ascii="Arial" w:hAnsi="Arial" w:cs="Arial"/>
          <w:b/>
          <w:sz w:val="24"/>
          <w:szCs w:val="24"/>
        </w:rPr>
        <w:t>R4-2200279</w:t>
      </w:r>
    </w:p>
    <w:p w14:paraId="2C67BE8C" w14:textId="2D2D71D4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January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17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7E6A7A3F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C94AC7" w:rsidRPr="00403ECA">
        <w:rPr>
          <w:sz w:val="24"/>
          <w:szCs w:val="24"/>
        </w:rPr>
        <w:t>6</w:t>
      </w:r>
      <w:r w:rsidR="005D1B1F" w:rsidRPr="00403ECA">
        <w:rPr>
          <w:sz w:val="24"/>
          <w:szCs w:val="24"/>
        </w:rPr>
        <w:t>.1</w:t>
      </w:r>
      <w:r w:rsidR="00822C76" w:rsidRPr="00403ECA">
        <w:rPr>
          <w:sz w:val="24"/>
          <w:szCs w:val="24"/>
        </w:rPr>
        <w:t>9</w:t>
      </w:r>
      <w:r w:rsidR="005D1B1F" w:rsidRPr="00403ECA">
        <w:rPr>
          <w:sz w:val="24"/>
          <w:szCs w:val="24"/>
        </w:rPr>
        <w:t>.</w:t>
      </w:r>
      <w:r w:rsidR="00403ECA" w:rsidRPr="00403ECA">
        <w:rPr>
          <w:sz w:val="24"/>
          <w:szCs w:val="24"/>
        </w:rPr>
        <w:t>3.3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8D966A9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0237AE" w:rsidRPr="000237AE">
        <w:rPr>
          <w:sz w:val="24"/>
          <w:szCs w:val="24"/>
        </w:rPr>
        <w:t>Discussion on other RRM requirements for FeMIMO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78E135E7" w14:textId="3093945C" w:rsidR="0040333E" w:rsidRDefault="00C94AC7" w:rsidP="00C94AC7">
      <w:pPr>
        <w:spacing w:after="120"/>
        <w:rPr>
          <w:sz w:val="20"/>
          <w:szCs w:val="20"/>
        </w:rPr>
      </w:pPr>
      <w:r w:rsidRPr="00822C76">
        <w:rPr>
          <w:sz w:val="20"/>
          <w:szCs w:val="20"/>
        </w:rPr>
        <w:t>In RAN4#10</w:t>
      </w:r>
      <w:r w:rsidR="00822C76" w:rsidRPr="00822C76">
        <w:rPr>
          <w:sz w:val="20"/>
          <w:szCs w:val="20"/>
        </w:rPr>
        <w:t>1</w:t>
      </w:r>
      <w:r w:rsidRPr="00822C76">
        <w:rPr>
          <w:sz w:val="20"/>
          <w:szCs w:val="20"/>
        </w:rPr>
        <w:t xml:space="preserve">-e </w:t>
      </w:r>
      <w:r w:rsidR="00403ECA">
        <w:rPr>
          <w:sz w:val="20"/>
          <w:szCs w:val="20"/>
        </w:rPr>
        <w:t xml:space="preserve">other </w:t>
      </w:r>
      <w:r w:rsidR="00822C76" w:rsidRPr="00822C76">
        <w:rPr>
          <w:sz w:val="20"/>
          <w:szCs w:val="20"/>
        </w:rPr>
        <w:t xml:space="preserve">requirements </w:t>
      </w:r>
      <w:r w:rsidR="00403ECA">
        <w:rPr>
          <w:sz w:val="20"/>
          <w:szCs w:val="20"/>
        </w:rPr>
        <w:t xml:space="preserve">for </w:t>
      </w:r>
      <w:proofErr w:type="spellStart"/>
      <w:r w:rsidR="00403ECA">
        <w:rPr>
          <w:sz w:val="20"/>
          <w:szCs w:val="20"/>
        </w:rPr>
        <w:t>FeMIMO</w:t>
      </w:r>
      <w:proofErr w:type="spellEnd"/>
      <w:r w:rsidR="00403ECA">
        <w:rPr>
          <w:sz w:val="20"/>
          <w:szCs w:val="20"/>
        </w:rPr>
        <w:t xml:space="preserve"> </w:t>
      </w:r>
      <w:r w:rsidR="0040333E">
        <w:rPr>
          <w:sz w:val="20"/>
          <w:szCs w:val="20"/>
        </w:rPr>
        <w:t>were</w:t>
      </w:r>
      <w:r w:rsidR="00403ECA">
        <w:rPr>
          <w:sz w:val="20"/>
          <w:szCs w:val="20"/>
        </w:rPr>
        <w:t xml:space="preserve"> discussed and way forward [1] was partially agreed</w:t>
      </w:r>
      <w:r w:rsidRPr="00822C76">
        <w:rPr>
          <w:sz w:val="20"/>
          <w:szCs w:val="20"/>
        </w:rPr>
        <w:t xml:space="preserve">. </w:t>
      </w:r>
      <w:r w:rsidR="00E052D0">
        <w:rPr>
          <w:sz w:val="20"/>
          <w:szCs w:val="20"/>
        </w:rPr>
        <w:t>The following aspects were agreed and captured in Chairman’s notes: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52D0" w14:paraId="52C7ED8C" w14:textId="77777777" w:rsidTr="00E052D0">
        <w:tc>
          <w:tcPr>
            <w:tcW w:w="9350" w:type="dxa"/>
          </w:tcPr>
          <w:p w14:paraId="4A9E755A" w14:textId="77777777" w:rsidR="00E052D0" w:rsidRPr="00E052D0" w:rsidRDefault="00E052D0" w:rsidP="00E052D0">
            <w:pPr>
              <w:numPr>
                <w:ilvl w:val="0"/>
                <w:numId w:val="3"/>
              </w:numPr>
              <w:spacing w:after="120"/>
              <w:rPr>
                <w:bCs/>
                <w:sz w:val="20"/>
                <w:szCs w:val="20"/>
                <w:lang w:val="en-GB"/>
              </w:rPr>
            </w:pPr>
            <w:r w:rsidRPr="00E052D0">
              <w:rPr>
                <w:rFonts w:hint="eastAsia"/>
                <w:bCs/>
                <w:sz w:val="20"/>
                <w:szCs w:val="20"/>
                <w:lang w:val="en-GB"/>
              </w:rPr>
              <w:t>RAN</w:t>
            </w:r>
            <w:r w:rsidRPr="00E052D0">
              <w:rPr>
                <w:bCs/>
                <w:sz w:val="20"/>
                <w:szCs w:val="20"/>
                <w:lang w:val="en-GB"/>
              </w:rPr>
              <w:t>4 will further discuss the QCL definition update based on RAN1 agreements</w:t>
            </w:r>
          </w:p>
          <w:p w14:paraId="3C08CD32" w14:textId="77777777" w:rsidR="00E052D0" w:rsidRPr="00E052D0" w:rsidRDefault="00E052D0" w:rsidP="00E052D0">
            <w:pPr>
              <w:numPr>
                <w:ilvl w:val="0"/>
                <w:numId w:val="3"/>
              </w:numPr>
              <w:spacing w:after="120"/>
              <w:rPr>
                <w:bCs/>
                <w:sz w:val="20"/>
                <w:szCs w:val="20"/>
                <w:lang w:val="en-GB"/>
              </w:rPr>
            </w:pPr>
            <w:r w:rsidRPr="00E052D0">
              <w:rPr>
                <w:bCs/>
                <w:sz w:val="20"/>
                <w:szCs w:val="20"/>
                <w:lang w:val="en-GB"/>
              </w:rPr>
              <w:t xml:space="preserve">RAN4 will specify the TRP specific BFR including requirements for BFD, CBD and BFRQ assuming 2 BFD-RS sets in </w:t>
            </w:r>
            <w:proofErr w:type="spellStart"/>
            <w:r w:rsidRPr="00E052D0">
              <w:rPr>
                <w:bCs/>
                <w:sz w:val="20"/>
                <w:szCs w:val="20"/>
                <w:lang w:val="en-GB"/>
              </w:rPr>
              <w:t>mTRP</w:t>
            </w:r>
            <w:proofErr w:type="spellEnd"/>
            <w:r w:rsidRPr="00E052D0">
              <w:rPr>
                <w:bCs/>
                <w:sz w:val="20"/>
                <w:szCs w:val="20"/>
                <w:lang w:val="en-GB"/>
              </w:rPr>
              <w:t xml:space="preserve"> operations</w:t>
            </w:r>
          </w:p>
          <w:p w14:paraId="28940D1E" w14:textId="77777777" w:rsidR="00E052D0" w:rsidRDefault="00E052D0" w:rsidP="00C94AC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1F7B85D1" w14:textId="049CCBFB" w:rsidR="00E052D0" w:rsidRDefault="00E052D0" w:rsidP="00C94AC7">
      <w:pPr>
        <w:spacing w:after="120"/>
        <w:rPr>
          <w:sz w:val="20"/>
          <w:szCs w:val="20"/>
        </w:rPr>
      </w:pPr>
      <w:r w:rsidRPr="00822C76">
        <w:rPr>
          <w:sz w:val="20"/>
          <w:szCs w:val="20"/>
        </w:rPr>
        <w:t xml:space="preserve">In this contribution we present our views on </w:t>
      </w:r>
      <w:r>
        <w:rPr>
          <w:sz w:val="20"/>
          <w:szCs w:val="20"/>
        </w:rPr>
        <w:t xml:space="preserve">other RRM requirements for </w:t>
      </w:r>
      <w:proofErr w:type="spellStart"/>
      <w:r>
        <w:rPr>
          <w:sz w:val="20"/>
          <w:szCs w:val="20"/>
        </w:rPr>
        <w:t>FeMIMO</w:t>
      </w:r>
      <w:proofErr w:type="spellEnd"/>
      <w:r>
        <w:rPr>
          <w:sz w:val="20"/>
          <w:szCs w:val="20"/>
        </w:rPr>
        <w:t>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3F01072" w14:textId="1333E7AE" w:rsidR="009F52D7" w:rsidRPr="000E603A" w:rsidRDefault="0040333E" w:rsidP="009F52D7">
      <w:pPr>
        <w:pStyle w:val="Heading2"/>
      </w:pPr>
      <w:r w:rsidRPr="000E603A">
        <w:t>QCL definition</w:t>
      </w:r>
    </w:p>
    <w:p w14:paraId="64B52772" w14:textId="77777777" w:rsidR="0048569B" w:rsidRPr="00F622D1" w:rsidRDefault="0048569B" w:rsidP="0048569B">
      <w:pPr>
        <w:spacing w:after="120"/>
        <w:rPr>
          <w:rFonts w:eastAsia="SimSun"/>
          <w:sz w:val="20"/>
          <w:szCs w:val="20"/>
          <w:lang w:eastAsia="en-GB"/>
        </w:rPr>
      </w:pPr>
      <w:r w:rsidRPr="00F622D1">
        <w:rPr>
          <w:rFonts w:eastAsia="SimSun"/>
          <w:sz w:val="20"/>
          <w:szCs w:val="20"/>
          <w:lang w:eastAsia="en-GB"/>
        </w:rPr>
        <w:t xml:space="preserve">One of the enhancements in RAN1 for unified TCI framework in Rel-17 is to introduce UL TCI. In R15/16, TCI state/ QCL was only associated with DL signals, but in Rel-17 they can also be indicated for dynamic-grant/configured-grant based PUSCH and all of dedicated PUCCH resources in a CC. With this enhancement, the QCL definition in </w:t>
      </w:r>
      <w:r>
        <w:rPr>
          <w:rFonts w:eastAsia="SimSun"/>
          <w:sz w:val="20"/>
          <w:szCs w:val="20"/>
          <w:lang w:eastAsia="en-GB"/>
        </w:rPr>
        <w:t xml:space="preserve">the </w:t>
      </w:r>
      <w:r w:rsidRPr="00F622D1">
        <w:rPr>
          <w:rFonts w:eastAsia="SimSun"/>
          <w:sz w:val="20"/>
          <w:szCs w:val="20"/>
          <w:lang w:eastAsia="en-GB"/>
        </w:rPr>
        <w:t>Applicability of requirements in TS 38.133 § 3.6.7 should also be updated. Currently, the QCL definition only applies to DL signal – PDSCH and PDCCH. The definition needs to be extended to PUCSH and PUCCH in Rel-17.</w:t>
      </w:r>
    </w:p>
    <w:p w14:paraId="14B72280" w14:textId="5999272D" w:rsidR="0048569B" w:rsidRPr="00F622D1" w:rsidRDefault="0048569B" w:rsidP="0048569B">
      <w:pPr>
        <w:spacing w:after="120"/>
        <w:rPr>
          <w:rFonts w:eastAsia="SimSun"/>
          <w:sz w:val="20"/>
          <w:szCs w:val="20"/>
          <w:lang w:eastAsia="en-GB"/>
        </w:rPr>
      </w:pPr>
      <w:r w:rsidRPr="00F622D1"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eastAsia="en-GB"/>
        </w:rPr>
        <w:t>1</w:t>
      </w:r>
      <w:r w:rsidRPr="00F622D1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: </w:t>
      </w:r>
      <w:r w:rsidRPr="00F622D1">
        <w:rPr>
          <w:rFonts w:eastAsia="SimSun"/>
          <w:i/>
          <w:iCs/>
          <w:sz w:val="20"/>
          <w:szCs w:val="20"/>
          <w:lang w:eastAsia="en-GB"/>
        </w:rPr>
        <w:t>Currently</w:t>
      </w:r>
      <w:r w:rsidRPr="00F622D1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 </w:t>
      </w:r>
      <w:r w:rsidRPr="00F622D1">
        <w:rPr>
          <w:rFonts w:eastAsia="SimSun"/>
          <w:i/>
          <w:iCs/>
          <w:sz w:val="20"/>
          <w:szCs w:val="20"/>
          <w:lang w:eastAsia="en-GB"/>
        </w:rPr>
        <w:t>the definition of QCL is only applicable to PDSCH and PDCCH.</w:t>
      </w:r>
      <w:r w:rsidRPr="00F622D1">
        <w:rPr>
          <w:rFonts w:eastAsia="SimSun"/>
          <w:sz w:val="20"/>
          <w:szCs w:val="20"/>
          <w:lang w:eastAsia="en-GB"/>
        </w:rPr>
        <w:t xml:space="preserve"> </w:t>
      </w:r>
    </w:p>
    <w:p w14:paraId="50B3330F" w14:textId="77777777" w:rsidR="0048569B" w:rsidRPr="00F622D1" w:rsidRDefault="0048569B" w:rsidP="0048569B">
      <w:pPr>
        <w:spacing w:after="120"/>
        <w:rPr>
          <w:rFonts w:eastAsia="SimSun"/>
          <w:sz w:val="20"/>
          <w:szCs w:val="20"/>
          <w:lang w:eastAsia="en-GB"/>
        </w:rPr>
      </w:pPr>
      <w:r w:rsidRPr="00F622D1">
        <w:rPr>
          <w:rFonts w:eastAsia="SimSun"/>
          <w:sz w:val="20"/>
          <w:szCs w:val="20"/>
          <w:lang w:eastAsia="en-GB"/>
        </w:rPr>
        <w:t xml:space="preserve">We propose to update the definition of QCL to be applicable to PUCCH and PUSCH. </w:t>
      </w:r>
    </w:p>
    <w:p w14:paraId="05BAA6E3" w14:textId="5E511429" w:rsidR="0048569B" w:rsidRPr="00F622D1" w:rsidRDefault="0048569B" w:rsidP="0048569B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F622D1">
        <w:rPr>
          <w:rFonts w:eastAsia="SimSun"/>
          <w:b/>
          <w:bCs/>
          <w:sz w:val="20"/>
          <w:szCs w:val="20"/>
          <w:lang w:eastAsia="en-GB"/>
        </w:rPr>
        <w:t>Proposal #</w:t>
      </w:r>
      <w:r>
        <w:rPr>
          <w:rFonts w:eastAsia="SimSun"/>
          <w:b/>
          <w:bCs/>
          <w:sz w:val="20"/>
          <w:szCs w:val="20"/>
          <w:lang w:eastAsia="en-GB"/>
        </w:rPr>
        <w:t>1</w:t>
      </w:r>
      <w:r w:rsidRPr="00F622D1">
        <w:rPr>
          <w:rFonts w:eastAsia="SimSun"/>
          <w:b/>
          <w:bCs/>
          <w:sz w:val="20"/>
          <w:szCs w:val="20"/>
          <w:lang w:eastAsia="en-GB"/>
        </w:rPr>
        <w:t xml:space="preserve">: Update the definition of QCL to be applicable to PUCCH and PUSCH in Applicability of requirements for QCL. </w:t>
      </w:r>
    </w:p>
    <w:p w14:paraId="64A0FD2C" w14:textId="77777777" w:rsidR="0048569B" w:rsidRPr="00F622D1" w:rsidRDefault="0048569B" w:rsidP="0048569B">
      <w:pPr>
        <w:spacing w:after="120"/>
        <w:rPr>
          <w:rFonts w:eastAsia="SimSun"/>
          <w:sz w:val="20"/>
          <w:szCs w:val="20"/>
          <w:lang w:eastAsia="en-GB"/>
        </w:rPr>
      </w:pPr>
      <w:r w:rsidRPr="00F622D1">
        <w:rPr>
          <w:rFonts w:eastAsia="SimSun"/>
          <w:sz w:val="20"/>
          <w:szCs w:val="20"/>
          <w:lang w:eastAsia="en-GB"/>
        </w:rPr>
        <w:t>Based on RAN1 agreements, the supported source RS for UL TX spatial filter are,</w:t>
      </w:r>
    </w:p>
    <w:p w14:paraId="0F1D6F5B" w14:textId="77777777" w:rsidR="0048569B" w:rsidRPr="00F622D1" w:rsidRDefault="0048569B" w:rsidP="0048569B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F622D1">
        <w:rPr>
          <w:rFonts w:ascii="Times New Roman" w:hAnsi="Times New Roman" w:cs="Times New Roman"/>
          <w:sz w:val="20"/>
          <w:szCs w:val="20"/>
          <w:lang w:eastAsia="en-GB"/>
        </w:rPr>
        <w:t>SRS</w:t>
      </w:r>
    </w:p>
    <w:p w14:paraId="7745BEE3" w14:textId="77777777" w:rsidR="0048569B" w:rsidRPr="00F622D1" w:rsidRDefault="0048569B" w:rsidP="0048569B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F622D1">
        <w:rPr>
          <w:rFonts w:ascii="Times New Roman" w:hAnsi="Times New Roman" w:cs="Times New Roman"/>
          <w:sz w:val="20"/>
          <w:szCs w:val="20"/>
          <w:lang w:eastAsia="en-GB"/>
        </w:rPr>
        <w:t>SSB</w:t>
      </w:r>
    </w:p>
    <w:p w14:paraId="49B8F995" w14:textId="77777777" w:rsidR="0048569B" w:rsidRPr="00F622D1" w:rsidRDefault="0048569B" w:rsidP="0048569B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F622D1">
        <w:rPr>
          <w:rFonts w:ascii="Times New Roman" w:hAnsi="Times New Roman" w:cs="Times New Roman"/>
          <w:sz w:val="20"/>
          <w:szCs w:val="20"/>
          <w:lang w:eastAsia="en-GB"/>
        </w:rPr>
        <w:t>CSI-RS for tracking</w:t>
      </w:r>
    </w:p>
    <w:p w14:paraId="584BB15A" w14:textId="77777777" w:rsidR="0048569B" w:rsidRPr="00F622D1" w:rsidRDefault="0048569B" w:rsidP="0048569B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F622D1">
        <w:rPr>
          <w:rFonts w:ascii="Times New Roman" w:hAnsi="Times New Roman" w:cs="Times New Roman"/>
          <w:sz w:val="20"/>
          <w:szCs w:val="20"/>
          <w:lang w:eastAsia="en-GB"/>
        </w:rPr>
        <w:t>CSI-RS for Beam Management</w:t>
      </w:r>
    </w:p>
    <w:p w14:paraId="6ADFBCEF" w14:textId="77777777" w:rsidR="0048569B" w:rsidRDefault="0048569B" w:rsidP="0048569B">
      <w:pPr>
        <w:spacing w:after="120"/>
        <w:rPr>
          <w:rFonts w:eastAsia="SimSun"/>
          <w:sz w:val="20"/>
          <w:szCs w:val="20"/>
          <w:lang w:eastAsia="en-GB"/>
        </w:rPr>
      </w:pPr>
      <w:r w:rsidRPr="00F622D1">
        <w:rPr>
          <w:rFonts w:eastAsia="SimSun"/>
          <w:sz w:val="20"/>
          <w:szCs w:val="20"/>
          <w:lang w:eastAsia="en-GB"/>
        </w:rPr>
        <w:t>While SRS and SSB can only be directly associated with target UL signal, CSI-RS for tracking and beam management can be part of a QCL chain. We propose to include SRS as resource in TCI chain definition.</w:t>
      </w:r>
    </w:p>
    <w:p w14:paraId="2460049A" w14:textId="5102F148" w:rsidR="0048569B" w:rsidRDefault="0048569B" w:rsidP="0048569B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#2: Update TCI chain definition to include SRS</w:t>
      </w:r>
      <w:r w:rsidR="00CC6789">
        <w:rPr>
          <w:rFonts w:eastAsia="SimSun"/>
          <w:b/>
          <w:bCs/>
          <w:sz w:val="20"/>
          <w:szCs w:val="20"/>
          <w:lang w:eastAsia="en-GB"/>
        </w:rPr>
        <w:t xml:space="preserve"> and for PUCCH/PUSCH</w:t>
      </w:r>
      <w:r>
        <w:rPr>
          <w:rFonts w:eastAsia="SimSun"/>
          <w:b/>
          <w:bCs/>
          <w:sz w:val="20"/>
          <w:szCs w:val="20"/>
          <w:lang w:eastAsia="en-GB"/>
        </w:rPr>
        <w:t>.</w:t>
      </w:r>
    </w:p>
    <w:p w14:paraId="129D5174" w14:textId="77777777" w:rsidR="0048569B" w:rsidRPr="00A76130" w:rsidRDefault="0048569B" w:rsidP="0048569B">
      <w:pPr>
        <w:spacing w:after="120"/>
        <w:rPr>
          <w:rFonts w:eastAsia="SimSun"/>
          <w:sz w:val="20"/>
          <w:szCs w:val="20"/>
          <w:lang w:eastAsia="en-GB"/>
        </w:rPr>
      </w:pPr>
      <w:r w:rsidRPr="00A76130">
        <w:rPr>
          <w:rFonts w:eastAsia="SimSun"/>
          <w:sz w:val="20"/>
          <w:szCs w:val="20"/>
          <w:lang w:eastAsia="en-GB"/>
        </w:rPr>
        <w:t xml:space="preserve">Based on the above proposals, we recommend updating the applicability of QCL definition as below. </w:t>
      </w:r>
    </w:p>
    <w:p w14:paraId="384A89E3" w14:textId="77777777" w:rsidR="0048569B" w:rsidRDefault="0048569B" w:rsidP="0048569B">
      <w:pPr>
        <w:spacing w:after="120"/>
        <w:rPr>
          <w:rFonts w:eastAsia="SimSun"/>
          <w:sz w:val="20"/>
          <w:szCs w:val="20"/>
          <w:lang w:eastAsia="en-GB"/>
        </w:rPr>
      </w:pPr>
      <w:r w:rsidRPr="00A76130">
        <w:rPr>
          <w:rFonts w:eastAsia="SimSun"/>
          <w:noProof/>
          <w:sz w:val="20"/>
          <w:szCs w:val="20"/>
          <w:lang w:eastAsia="en-GB"/>
        </w:rPr>
        <w:lastRenderedPageBreak/>
        <w:drawing>
          <wp:inline distT="0" distB="0" distL="0" distR="0" wp14:anchorId="1E988C87" wp14:editId="5D53E052">
            <wp:extent cx="5943600" cy="2041525"/>
            <wp:effectExtent l="12700" t="12700" r="12700" b="15875"/>
            <wp:docPr id="5" name="Picture 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, email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415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79974CE" w14:textId="56C388B5" w:rsidR="0040333E" w:rsidRPr="000E603A" w:rsidRDefault="0040333E" w:rsidP="0040333E">
      <w:pPr>
        <w:pStyle w:val="Heading2"/>
      </w:pPr>
      <w:r w:rsidRPr="000E603A">
        <w:t>TRP Specific BFR</w:t>
      </w:r>
    </w:p>
    <w:p w14:paraId="7E52FB39" w14:textId="124326B5" w:rsidR="00B03681" w:rsidRDefault="00B03681" w:rsidP="00B03681">
      <w:pPr>
        <w:spacing w:after="120"/>
        <w:rPr>
          <w:lang w:val="en-GB"/>
        </w:rPr>
      </w:pPr>
      <w:r>
        <w:rPr>
          <w:lang w:val="en-GB"/>
        </w:rPr>
        <w:t xml:space="preserve">In RAN4#101-e it was agreed to specify requirements for TRP specific BFR. </w:t>
      </w:r>
    </w:p>
    <w:p w14:paraId="3530ACFF" w14:textId="196B48E3" w:rsidR="00B03681" w:rsidRDefault="00B03681" w:rsidP="00B03681">
      <w:pPr>
        <w:spacing w:after="120"/>
        <w:rPr>
          <w:lang w:val="en-GB"/>
        </w:rPr>
      </w:pPr>
      <w:r>
        <w:rPr>
          <w:lang w:val="en-GB"/>
        </w:rPr>
        <w:t xml:space="preserve">RAN </w:t>
      </w:r>
      <w:r w:rsidR="006B3B51">
        <w:rPr>
          <w:lang w:val="en-GB"/>
        </w:rPr>
        <w:t>enhancements</w:t>
      </w:r>
      <w:r>
        <w:rPr>
          <w:lang w:val="en-GB"/>
        </w:rPr>
        <w:t xml:space="preserve"> for TRP specific BFR:</w:t>
      </w:r>
    </w:p>
    <w:p w14:paraId="19BA638D" w14:textId="77777777" w:rsidR="00B03681" w:rsidRPr="007C0004" w:rsidRDefault="00B03681" w:rsidP="00B03681">
      <w:pPr>
        <w:numPr>
          <w:ilvl w:val="0"/>
          <w:numId w:val="5"/>
        </w:numPr>
        <w:spacing w:after="120"/>
      </w:pPr>
      <w:r w:rsidRPr="007C0004">
        <w:t>For M</w:t>
      </w:r>
      <w:r>
        <w:t>ulti</w:t>
      </w:r>
      <w:r w:rsidRPr="007C0004">
        <w:t>-TRP beam failure detection, support independent BFD-RS configuration per-TRP, where each TRP is associated with a BFD-RS set.</w:t>
      </w:r>
    </w:p>
    <w:p w14:paraId="1E89CD46" w14:textId="77777777" w:rsidR="00B03681" w:rsidRPr="007C0004" w:rsidRDefault="00B03681" w:rsidP="00B03681">
      <w:pPr>
        <w:numPr>
          <w:ilvl w:val="1"/>
          <w:numId w:val="5"/>
        </w:numPr>
        <w:spacing w:after="120"/>
      </w:pPr>
      <w:r w:rsidRPr="007C0004">
        <w:t>2 BFD-RS sets per BWP, N resources per BFD-RS set</w:t>
      </w:r>
    </w:p>
    <w:p w14:paraId="2794C0FC" w14:textId="77777777" w:rsidR="00B03681" w:rsidRPr="007C0004" w:rsidRDefault="00B03681" w:rsidP="00B03681">
      <w:pPr>
        <w:numPr>
          <w:ilvl w:val="2"/>
          <w:numId w:val="5"/>
        </w:numPr>
        <w:spacing w:after="120"/>
      </w:pPr>
      <w:r w:rsidRPr="007C0004">
        <w:t>N is based on UE capability</w:t>
      </w:r>
    </w:p>
    <w:p w14:paraId="10BC5320" w14:textId="77777777" w:rsidR="00B03681" w:rsidRPr="007C0004" w:rsidRDefault="00B03681" w:rsidP="00B03681">
      <w:pPr>
        <w:numPr>
          <w:ilvl w:val="0"/>
          <w:numId w:val="5"/>
        </w:numPr>
        <w:spacing w:after="120"/>
      </w:pPr>
      <w:r w:rsidRPr="007C0004">
        <w:t>For M</w:t>
      </w:r>
      <w:r>
        <w:t>ulti</w:t>
      </w:r>
      <w:r w:rsidRPr="007C0004">
        <w:t>-TRP new beam identification</w:t>
      </w:r>
    </w:p>
    <w:p w14:paraId="23CDA25B" w14:textId="77777777" w:rsidR="00B03681" w:rsidRPr="007C0004" w:rsidRDefault="00B03681" w:rsidP="00B03681">
      <w:pPr>
        <w:numPr>
          <w:ilvl w:val="1"/>
          <w:numId w:val="5"/>
        </w:numPr>
        <w:spacing w:after="120"/>
      </w:pPr>
      <w:r w:rsidRPr="007C0004">
        <w:t>Support independent configuration of new beam identification RS (NBI-RS) (CSI-RS or SSB) set per TRP if NBI-RS set per TRP is configured</w:t>
      </w:r>
    </w:p>
    <w:p w14:paraId="22DA4B96" w14:textId="77777777" w:rsidR="00B03681" w:rsidRPr="007C0004" w:rsidRDefault="00B03681" w:rsidP="00B03681">
      <w:pPr>
        <w:numPr>
          <w:ilvl w:val="1"/>
          <w:numId w:val="5"/>
        </w:numPr>
        <w:spacing w:after="120"/>
      </w:pPr>
      <w:r w:rsidRPr="007C0004">
        <w:t>1-to-1 association of BFD-RS and NBI-RS</w:t>
      </w:r>
    </w:p>
    <w:p w14:paraId="1E576495" w14:textId="43D7EF9A" w:rsidR="00B03681" w:rsidRPr="006B3B51" w:rsidRDefault="00B03681" w:rsidP="00B03681">
      <w:pPr>
        <w:spacing w:after="120"/>
        <w:rPr>
          <w:lang w:val="en-GB"/>
        </w:rPr>
      </w:pPr>
      <w:r>
        <w:rPr>
          <w:lang w:val="en-GB"/>
        </w:rPr>
        <w:t>For multi-TRP BFR, the UE can be configured for 2*N BFD-RS per serving cell compared to 2 RS per serving cell in Rel-15/16. Since the BFD-RSs are per TRP, they could be received simultaneously. RAN4 needs to define enhancements to beam failure detection and recovery for TRP specific BFR.</w:t>
      </w:r>
    </w:p>
    <w:p w14:paraId="507CBF27" w14:textId="77777777" w:rsidR="00B03681" w:rsidRDefault="00B03681" w:rsidP="00B03681">
      <w:pPr>
        <w:spacing w:after="120"/>
        <w:rPr>
          <w:lang w:val="en-GB"/>
        </w:rPr>
      </w:pPr>
      <w:r>
        <w:rPr>
          <w:lang w:val="en-GB"/>
        </w:rPr>
        <w:t xml:space="preserve">The BFD RS from each TRP could be received simultaneously. In case of FR1, the UE would be able to receive BFD RS from 2 TRP simultaneously, but in FR2, UE needs to support multi-panel reception for this. If the BFD-RS from TRPs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not </w:t>
      </w:r>
      <w:proofErr w:type="spellStart"/>
      <w:r>
        <w:rPr>
          <w:lang w:val="en-GB"/>
        </w:rPr>
        <w:t>TDMed</w:t>
      </w:r>
      <w:proofErr w:type="spellEnd"/>
      <w:r>
        <w:rPr>
          <w:lang w:val="en-GB"/>
        </w:rPr>
        <w:t>, we need to enhance BFD requirements to support it.</w:t>
      </w:r>
    </w:p>
    <w:p w14:paraId="5CBE2856" w14:textId="77777777" w:rsidR="00B03681" w:rsidRDefault="00B03681" w:rsidP="00B03681">
      <w:pPr>
        <w:spacing w:after="120"/>
        <w:rPr>
          <w:lang w:val="en-GB"/>
        </w:rPr>
      </w:pPr>
      <w:r>
        <w:rPr>
          <w:lang w:val="en-GB"/>
        </w:rPr>
        <w:t>For TRP specific BFR there is a 1:1 association between BFD-RS and NBI-RS, hence the link recovery requirements also need to be enhanced.</w:t>
      </w:r>
    </w:p>
    <w:p w14:paraId="061E5E09" w14:textId="67E7EE23" w:rsidR="00B03681" w:rsidRDefault="00B03681" w:rsidP="00B03681">
      <w:pPr>
        <w:spacing w:after="120"/>
        <w:rPr>
          <w:i/>
          <w:iCs/>
          <w:lang w:val="en-GB"/>
        </w:rPr>
      </w:pPr>
      <w:r>
        <w:rPr>
          <w:b/>
          <w:bCs/>
          <w:i/>
          <w:iCs/>
          <w:lang w:val="en-GB"/>
        </w:rPr>
        <w:t>Observation #</w:t>
      </w:r>
      <w:r w:rsidR="0048569B">
        <w:rPr>
          <w:b/>
          <w:bCs/>
          <w:i/>
          <w:iCs/>
          <w:lang w:val="en-GB"/>
        </w:rPr>
        <w:t>2</w:t>
      </w:r>
      <w:r>
        <w:rPr>
          <w:b/>
          <w:bCs/>
          <w:i/>
          <w:iCs/>
          <w:lang w:val="en-GB"/>
        </w:rPr>
        <w:t xml:space="preserve">: </w:t>
      </w:r>
      <w:r>
        <w:rPr>
          <w:i/>
          <w:iCs/>
          <w:lang w:val="en-GB"/>
        </w:rPr>
        <w:t xml:space="preserve">In FR2 if UE doesn’t support simultaneous reception with multi-panel and BFD-RS / CBD-RS from TRPs are not </w:t>
      </w:r>
      <w:proofErr w:type="spellStart"/>
      <w:r>
        <w:rPr>
          <w:i/>
          <w:iCs/>
          <w:lang w:val="en-GB"/>
        </w:rPr>
        <w:t>TDMed</w:t>
      </w:r>
      <w:proofErr w:type="spellEnd"/>
      <w:r>
        <w:rPr>
          <w:i/>
          <w:iCs/>
          <w:lang w:val="en-GB"/>
        </w:rPr>
        <w:t>, BFD and CBD requirements need to be enhanced.</w:t>
      </w:r>
    </w:p>
    <w:p w14:paraId="560A3D3C" w14:textId="77777777" w:rsidR="00B03681" w:rsidRDefault="00B03681" w:rsidP="00B03681">
      <w:pPr>
        <w:spacing w:after="120"/>
        <w:rPr>
          <w:lang w:val="en-GB"/>
        </w:rPr>
      </w:pPr>
    </w:p>
    <w:p w14:paraId="61DC08F4" w14:textId="77777777" w:rsidR="00B03681" w:rsidRDefault="00B03681" w:rsidP="00B03681">
      <w:pPr>
        <w:spacing w:after="120"/>
        <w:rPr>
          <w:lang w:val="en-GB"/>
        </w:rPr>
      </w:pPr>
      <w:r>
        <w:rPr>
          <w:lang w:val="en-GB"/>
        </w:rPr>
        <w:t xml:space="preserve">In FR2 if UE doesn’t support multi-panel reception or if the of BFD-RS from TRPs are not </w:t>
      </w:r>
      <w:proofErr w:type="spellStart"/>
      <w:r>
        <w:rPr>
          <w:lang w:val="en-GB"/>
        </w:rPr>
        <w:t>TDMed</w:t>
      </w:r>
      <w:proofErr w:type="spellEnd"/>
      <w:r>
        <w:rPr>
          <w:lang w:val="en-GB"/>
        </w:rPr>
        <w:t>, we could introduce a sharing factor – P</w:t>
      </w:r>
      <w:r w:rsidRPr="00F03D82">
        <w:rPr>
          <w:vertAlign w:val="subscript"/>
          <w:lang w:val="en-GB"/>
        </w:rPr>
        <w:t>TRP</w:t>
      </w:r>
      <w:r>
        <w:rPr>
          <w:lang w:val="en-GB"/>
        </w:rPr>
        <w:t xml:space="preserve">. </w:t>
      </w:r>
    </w:p>
    <w:p w14:paraId="51505088" w14:textId="77777777" w:rsidR="00B03681" w:rsidRPr="00F03D82" w:rsidRDefault="00B03681" w:rsidP="00B03681">
      <w:pPr>
        <w:spacing w:after="120"/>
        <w:ind w:left="720"/>
        <w:rPr>
          <w:lang w:val="en-GB"/>
        </w:rPr>
      </w:pPr>
      <w:r>
        <w:rPr>
          <w:lang w:val="en-GB"/>
        </w:rPr>
        <w:t>P</w:t>
      </w:r>
      <w:r w:rsidRPr="00F03D82">
        <w:rPr>
          <w:vertAlign w:val="subscript"/>
          <w:lang w:val="en-GB"/>
        </w:rPr>
        <w:t>TRP</w:t>
      </w:r>
      <w:r>
        <w:rPr>
          <w:lang w:val="en-GB"/>
        </w:rPr>
        <w:t xml:space="preserve"> = 2 when BFD-RS or CBD-RS are received simultaneously from 2 TRP, 1 otherwise</w:t>
      </w:r>
    </w:p>
    <w:p w14:paraId="112E4DB9" w14:textId="048D12CF" w:rsidR="00B03681" w:rsidRPr="008963D9" w:rsidRDefault="00B03681" w:rsidP="00B03681">
      <w:pPr>
        <w:spacing w:after="120"/>
        <w:rPr>
          <w:b/>
          <w:bCs/>
          <w:lang w:val="en-GB"/>
        </w:rPr>
      </w:pPr>
      <w:r>
        <w:rPr>
          <w:b/>
          <w:bCs/>
          <w:lang w:val="en-GB"/>
        </w:rPr>
        <w:t>Proposal #</w:t>
      </w:r>
      <w:r w:rsidR="0048569B">
        <w:rPr>
          <w:b/>
          <w:bCs/>
          <w:lang w:val="en-GB"/>
        </w:rPr>
        <w:t>3</w:t>
      </w:r>
      <w:r>
        <w:rPr>
          <w:b/>
          <w:bCs/>
          <w:lang w:val="en-GB"/>
        </w:rPr>
        <w:t xml:space="preserve">: Introduce sharing factor for BFD and CBD evaluation period in FR2 </w:t>
      </w:r>
      <w:r w:rsidRPr="006F5582">
        <w:rPr>
          <w:b/>
          <w:bCs/>
          <w:lang w:val="en-GB"/>
        </w:rPr>
        <w:t>when BFD-RS or CBD-RS are received simultaneously from 2 TRP</w:t>
      </w:r>
      <w:r>
        <w:rPr>
          <w:b/>
          <w:bCs/>
          <w:lang w:val="en-GB"/>
        </w:rPr>
        <w:t xml:space="preserve">. </w:t>
      </w:r>
    </w:p>
    <w:p w14:paraId="38685D4B" w14:textId="77777777" w:rsidR="00B03681" w:rsidRDefault="00B03681" w:rsidP="00B03681">
      <w:pPr>
        <w:spacing w:after="120"/>
        <w:rPr>
          <w:lang w:val="en-GB"/>
        </w:rPr>
      </w:pPr>
      <w:r>
        <w:rPr>
          <w:lang w:val="en-GB"/>
        </w:rPr>
        <w:t>The proposed enhancement could be captured in the evaluation period requirements for BFD and CBD.</w:t>
      </w:r>
    </w:p>
    <w:p w14:paraId="16CFCABC" w14:textId="77777777" w:rsidR="00B03681" w:rsidRDefault="00B03681" w:rsidP="00B03681">
      <w:pPr>
        <w:spacing w:after="120"/>
        <w:rPr>
          <w:lang w:val="en-GB"/>
        </w:rPr>
      </w:pPr>
      <w:r>
        <w:rPr>
          <w:lang w:val="en-GB"/>
        </w:rPr>
        <w:t>CSI-RS based BFD</w:t>
      </w:r>
    </w:p>
    <w:p w14:paraId="3CA14286" w14:textId="77777777" w:rsidR="00B03681" w:rsidRDefault="00B03681" w:rsidP="00B03681">
      <w:pPr>
        <w:rPr>
          <w:lang w:val="en-GB"/>
        </w:rPr>
      </w:pPr>
      <w:r w:rsidRPr="006F5582">
        <w:rPr>
          <w:noProof/>
          <w:lang w:val="en-GB"/>
        </w:rPr>
        <w:lastRenderedPageBreak/>
        <w:drawing>
          <wp:inline distT="0" distB="0" distL="0" distR="0" wp14:anchorId="6BC7B11B" wp14:editId="66E25423">
            <wp:extent cx="5943600" cy="1945005"/>
            <wp:effectExtent l="12700" t="12700" r="12700" b="10795"/>
            <wp:docPr id="3" name="Picture 3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able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50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6F5582">
        <w:rPr>
          <w:noProof/>
          <w:lang w:val="en-GB"/>
        </w:rPr>
        <w:t xml:space="preserve"> </w:t>
      </w:r>
    </w:p>
    <w:p w14:paraId="1181D950" w14:textId="77777777" w:rsidR="00B03681" w:rsidRDefault="00B03681" w:rsidP="00B03681">
      <w:pPr>
        <w:rPr>
          <w:lang w:val="en-GB"/>
        </w:rPr>
      </w:pPr>
    </w:p>
    <w:p w14:paraId="3D7A823E" w14:textId="77777777" w:rsidR="00B03681" w:rsidRDefault="00B03681" w:rsidP="00B03681">
      <w:pPr>
        <w:rPr>
          <w:lang w:val="en-GB"/>
        </w:rPr>
      </w:pPr>
      <w:r>
        <w:rPr>
          <w:lang w:val="en-GB"/>
        </w:rPr>
        <w:t>SSB based CBD</w:t>
      </w:r>
    </w:p>
    <w:p w14:paraId="1FE3567F" w14:textId="77777777" w:rsidR="00B03681" w:rsidRDefault="00B03681" w:rsidP="00B03681">
      <w:pPr>
        <w:rPr>
          <w:lang w:val="en-GB"/>
        </w:rPr>
      </w:pPr>
    </w:p>
    <w:p w14:paraId="6F7A1509" w14:textId="77777777" w:rsidR="00B03681" w:rsidRDefault="00B03681" w:rsidP="00B03681">
      <w:pPr>
        <w:rPr>
          <w:lang w:val="en-GB"/>
        </w:rPr>
      </w:pPr>
      <w:r w:rsidRPr="006F5582">
        <w:rPr>
          <w:noProof/>
          <w:lang w:val="en-GB"/>
        </w:rPr>
        <w:drawing>
          <wp:inline distT="0" distB="0" distL="0" distR="0" wp14:anchorId="13C2C252" wp14:editId="31A58414">
            <wp:extent cx="5943600" cy="1745615"/>
            <wp:effectExtent l="12700" t="12700" r="12700" b="6985"/>
            <wp:docPr id="2" name="Picture 2" descr="Tabl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 with low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56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985DE60" w14:textId="77777777" w:rsidR="00B03681" w:rsidRDefault="00B03681" w:rsidP="00B03681">
      <w:pPr>
        <w:rPr>
          <w:lang w:val="en-GB"/>
        </w:rPr>
      </w:pPr>
    </w:p>
    <w:p w14:paraId="5FB0D620" w14:textId="77777777" w:rsidR="00B03681" w:rsidRDefault="00B03681" w:rsidP="00B03681">
      <w:pPr>
        <w:rPr>
          <w:lang w:val="en-GB"/>
        </w:rPr>
      </w:pPr>
    </w:p>
    <w:p w14:paraId="1E136DE2" w14:textId="77777777" w:rsidR="00B03681" w:rsidRDefault="00B03681" w:rsidP="00B03681">
      <w:pPr>
        <w:rPr>
          <w:lang w:val="en-GB"/>
        </w:rPr>
      </w:pPr>
      <w:r>
        <w:rPr>
          <w:lang w:val="en-GB"/>
        </w:rPr>
        <w:t>CSI-RS based CBD</w:t>
      </w:r>
    </w:p>
    <w:p w14:paraId="6A6B2BEC" w14:textId="77777777" w:rsidR="00B03681" w:rsidRDefault="00B03681" w:rsidP="00B03681">
      <w:pPr>
        <w:rPr>
          <w:lang w:val="en-GB"/>
        </w:rPr>
      </w:pPr>
    </w:p>
    <w:p w14:paraId="2C80FF1C" w14:textId="77777777" w:rsidR="00B03681" w:rsidRDefault="00B03681" w:rsidP="00B03681">
      <w:pPr>
        <w:rPr>
          <w:lang w:val="en-GB"/>
        </w:rPr>
      </w:pPr>
      <w:r w:rsidRPr="006F5582">
        <w:rPr>
          <w:noProof/>
          <w:lang w:val="en-GB"/>
        </w:rPr>
        <w:drawing>
          <wp:inline distT="0" distB="0" distL="0" distR="0" wp14:anchorId="35C8C743" wp14:editId="72912091">
            <wp:extent cx="5943600" cy="1728470"/>
            <wp:effectExtent l="12700" t="12700" r="12700" b="11430"/>
            <wp:docPr id="4" name="Picture 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84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607201" w14:textId="5716FDC6" w:rsidR="0040333E" w:rsidRPr="000E603A" w:rsidRDefault="0040333E" w:rsidP="0040333E">
      <w:pPr>
        <w:pStyle w:val="Heading2"/>
      </w:pPr>
      <w:r w:rsidRPr="000E603A">
        <w:t xml:space="preserve">BFD/BFR for HST Enhancements </w:t>
      </w:r>
    </w:p>
    <w:p w14:paraId="5D025991" w14:textId="6B09112C" w:rsidR="0040333E" w:rsidRDefault="00DD6FD6" w:rsidP="0040333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RAN4 has received LS [2] on BFR for CORESET with two activated TCI states.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00266" w14:paraId="6C275A08" w14:textId="77777777" w:rsidTr="00800266">
        <w:tc>
          <w:tcPr>
            <w:tcW w:w="9350" w:type="dxa"/>
          </w:tcPr>
          <w:p w14:paraId="3CB5D7B2" w14:textId="77777777" w:rsidR="00800266" w:rsidRPr="00406CBF" w:rsidRDefault="00800266" w:rsidP="00800266">
            <w:pPr>
              <w:pStyle w:val="CRCoverPage"/>
              <w:snapToGrid w:val="0"/>
              <w:jc w:val="both"/>
              <w:rPr>
                <w:rFonts w:ascii="Times New Roman" w:eastAsiaTheme="minorEastAsia" w:hAnsi="Times New Roman"/>
                <w:lang w:val="en-US" w:eastAsia="zh-CN"/>
              </w:rPr>
            </w:pPr>
            <w:r w:rsidRPr="00406CBF">
              <w:rPr>
                <w:rFonts w:ascii="Times New Roman" w:eastAsiaTheme="minorEastAsia" w:hAnsi="Times New Roman"/>
                <w:lang w:eastAsia="zh-CN"/>
              </w:rPr>
              <w:t xml:space="preserve">In Rel-17, RAN1 has agreed 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two </w:t>
            </w:r>
            <w:r w:rsidRPr="00406CBF">
              <w:rPr>
                <w:rFonts w:ascii="Times New Roman" w:eastAsiaTheme="minorEastAsia" w:hAnsi="Times New Roman"/>
                <w:lang w:eastAsia="zh-CN"/>
              </w:rPr>
              <w:t xml:space="preserve">SFN </w:t>
            </w:r>
            <w:r>
              <w:rPr>
                <w:rFonts w:ascii="Times New Roman" w:eastAsiaTheme="minorEastAsia" w:hAnsi="Times New Roman"/>
                <w:lang w:eastAsia="zh-CN"/>
              </w:rPr>
              <w:t>transmission modes for</w:t>
            </w:r>
            <w:r w:rsidRPr="00406CBF">
              <w:rPr>
                <w:rFonts w:ascii="Times New Roman" w:eastAsiaTheme="minorEastAsia" w:hAnsi="Times New Roman"/>
                <w:lang w:eastAsia="zh-CN"/>
              </w:rPr>
              <w:t xml:space="preserve"> PDCCH in which two TCI states can be activated for a CORESET. Two SFN modes </w:t>
            </w:r>
            <w:r>
              <w:rPr>
                <w:rFonts w:ascii="Times New Roman" w:eastAsiaTheme="minorEastAsia" w:hAnsi="Times New Roman"/>
                <w:lang w:eastAsia="zh-CN"/>
              </w:rPr>
              <w:t>support</w:t>
            </w:r>
            <w:r w:rsidRPr="00406CBF">
              <w:rPr>
                <w:rFonts w:ascii="Times New Roman" w:eastAsiaTheme="minorEastAsia" w:hAnsi="Times New Roman"/>
                <w:lang w:eastAsia="zh-CN"/>
              </w:rPr>
              <w:t xml:space="preserve"> network based (</w:t>
            </w:r>
            <w:r>
              <w:rPr>
                <w:rFonts w:ascii="Times New Roman" w:eastAsiaTheme="minorEastAsia" w:hAnsi="Times New Roman"/>
                <w:lang w:eastAsia="zh-CN"/>
              </w:rPr>
              <w:t>TRP based</w:t>
            </w:r>
            <w:r w:rsidRPr="00406CBF">
              <w:rPr>
                <w:rFonts w:ascii="Times New Roman" w:eastAsiaTheme="minorEastAsia" w:hAnsi="Times New Roman"/>
              </w:rPr>
              <w:t xml:space="preserve"> pre-compensation scheme) and UE based </w:t>
            </w:r>
            <w:r>
              <w:rPr>
                <w:rFonts w:ascii="Times New Roman" w:eastAsiaTheme="minorEastAsia" w:hAnsi="Times New Roman"/>
              </w:rPr>
              <w:t>(</w:t>
            </w:r>
            <w:r w:rsidRPr="00406CBF">
              <w:rPr>
                <w:rFonts w:ascii="Times New Roman" w:eastAsiaTheme="minorEastAsia" w:hAnsi="Times New Roman"/>
              </w:rPr>
              <w:t>scheme</w:t>
            </w:r>
            <w:r>
              <w:rPr>
                <w:rFonts w:ascii="Times New Roman" w:eastAsiaTheme="minorEastAsia" w:hAnsi="Times New Roman"/>
              </w:rPr>
              <w:t xml:space="preserve"> 1) Doppler shift compensation for DL transmission</w:t>
            </w:r>
            <w:r w:rsidRPr="00406CBF">
              <w:rPr>
                <w:rFonts w:ascii="Times New Roman" w:eastAsiaTheme="minorEastAsia" w:hAnsi="Times New Roman"/>
              </w:rPr>
              <w:t xml:space="preserve">. </w:t>
            </w:r>
          </w:p>
          <w:p w14:paraId="2720ABFF" w14:textId="77777777" w:rsidR="00800266" w:rsidRPr="00406CBF" w:rsidRDefault="00800266" w:rsidP="00800266">
            <w:pPr>
              <w:pStyle w:val="CRCoverPage"/>
              <w:snapToGrid w:val="0"/>
              <w:jc w:val="both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F</w:t>
            </w:r>
            <w:r w:rsidRPr="00406CBF">
              <w:rPr>
                <w:rFonts w:ascii="Times New Roman" w:eastAsiaTheme="minorEastAsia" w:hAnsi="Times New Roman"/>
              </w:rPr>
              <w:t xml:space="preserve">or implicit BFD RS based on a CORESET with two activated TCI states, RAN1 </w:t>
            </w:r>
            <w:r>
              <w:rPr>
                <w:rFonts w:ascii="Times New Roman" w:eastAsiaTheme="minorEastAsia" w:hAnsi="Times New Roman"/>
              </w:rPr>
              <w:t>has agreed that</w:t>
            </w:r>
            <w:r w:rsidRPr="00406CBF">
              <w:rPr>
                <w:rFonts w:ascii="Times New Roman" w:eastAsiaTheme="minorEastAsia" w:hAnsi="Times New Roman"/>
              </w:rPr>
              <w:t xml:space="preserve"> how to calculate radio link quality for RLM /BFD is up to RAN4 discussion. </w:t>
            </w:r>
          </w:p>
          <w:p w14:paraId="2B73116E" w14:textId="77777777" w:rsidR="00800266" w:rsidRPr="00406CBF" w:rsidRDefault="00800266" w:rsidP="00800266">
            <w:pPr>
              <w:pStyle w:val="CRCoverPage"/>
              <w:snapToGrid w:val="0"/>
              <w:jc w:val="both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lastRenderedPageBreak/>
              <w:t>Two options have been discussed in RAN1</w:t>
            </w:r>
            <w:r w:rsidRPr="00406CBF">
              <w:rPr>
                <w:rFonts w:ascii="Times New Roman" w:eastAsiaTheme="minorEastAsia" w:hAnsi="Times New Roman"/>
              </w:rPr>
              <w:t xml:space="preserve">: </w:t>
            </w:r>
          </w:p>
          <w:p w14:paraId="787080D9" w14:textId="77777777" w:rsidR="00800266" w:rsidRPr="00406CBF" w:rsidRDefault="00800266" w:rsidP="00800266">
            <w:pPr>
              <w:pStyle w:val="CRCoverPage"/>
              <w:numPr>
                <w:ilvl w:val="0"/>
                <w:numId w:val="4"/>
              </w:numPr>
              <w:snapToGrid w:val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406CBF">
              <w:rPr>
                <w:rFonts w:ascii="Times New Roman" w:eastAsiaTheme="minorEastAsia" w:hAnsi="Times New Roman"/>
              </w:rPr>
              <w:t xml:space="preserve">Option 1: For a CORESET with two activated TCI states, two RS indexes are included in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oMath>
            <w:r>
              <w:rPr>
                <w:rFonts w:ascii="Times New Roman" w:eastAsiaTheme="minorEastAsia" w:hAnsi="Times New Roman"/>
              </w:rPr>
              <w:t>(as two BFD RS resources).</w:t>
            </w:r>
            <w:r w:rsidRPr="00406CBF">
              <w:rPr>
                <w:rFonts w:ascii="Times New Roman" w:eastAsiaTheme="minorEastAsia" w:hAnsi="Times New Roman"/>
              </w:rPr>
              <w:t xml:space="preserve"> </w:t>
            </w:r>
            <w:r>
              <w:rPr>
                <w:rFonts w:ascii="Times New Roman" w:eastAsiaTheme="minorEastAsia" w:hAnsi="Times New Roman"/>
              </w:rPr>
              <w:t xml:space="preserve">Otherwise, </w:t>
            </w:r>
            <w:r w:rsidRPr="00406CBF">
              <w:rPr>
                <w:rFonts w:ascii="Times New Roman" w:eastAsiaTheme="minorEastAsia" w:hAnsi="Times New Roman"/>
              </w:rPr>
              <w:t xml:space="preserve">UE </w:t>
            </w:r>
            <w:r>
              <w:rPr>
                <w:rFonts w:ascii="Times New Roman" w:eastAsiaTheme="minorEastAsia" w:hAnsi="Times New Roman"/>
              </w:rPr>
              <w:t xml:space="preserve">follows 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the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Rel-15/16 specification for BFD</w:t>
            </w:r>
          </w:p>
          <w:p w14:paraId="4381F882" w14:textId="0F709B3A" w:rsidR="00800266" w:rsidRPr="00800266" w:rsidRDefault="00800266" w:rsidP="005B410D">
            <w:pPr>
              <w:pStyle w:val="CRCoverPage"/>
              <w:numPr>
                <w:ilvl w:val="0"/>
                <w:numId w:val="4"/>
              </w:numPr>
              <w:snapToGrid w:val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406CBF">
              <w:rPr>
                <w:rFonts w:ascii="Times New Roman" w:eastAsiaTheme="minorEastAsia" w:hAnsi="Times New Roman"/>
                <w:lang w:eastAsia="zh-CN"/>
              </w:rPr>
              <w:t xml:space="preserve">Option 2: </w:t>
            </w:r>
            <w:r w:rsidRPr="00406CBF">
              <w:rPr>
                <w:rFonts w:ascii="Times New Roman" w:eastAsiaTheme="minorEastAsia" w:hAnsi="Times New Roman"/>
              </w:rPr>
              <w:t xml:space="preserve">For a CORESET with two activated TCI states, UE </w:t>
            </w:r>
            <w:r>
              <w:rPr>
                <w:rFonts w:ascii="Times New Roman" w:eastAsiaTheme="minorEastAsia" w:hAnsi="Times New Roman"/>
              </w:rPr>
              <w:t>evaluates the RLM/BFD based on single hypothetical PDCCH BLER</w:t>
            </w:r>
            <w:r w:rsidRPr="00406CBF">
              <w:rPr>
                <w:rFonts w:ascii="Times New Roman" w:eastAsiaTheme="minorEastAsia" w:hAnsi="Times New Roman"/>
              </w:rPr>
              <w:t xml:space="preserve"> for the CORESET</w:t>
            </w:r>
          </w:p>
        </w:tc>
      </w:tr>
    </w:tbl>
    <w:p w14:paraId="17B4D653" w14:textId="6DFFA89B" w:rsidR="0040333E" w:rsidRDefault="0040333E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3F4266B" w14:textId="6C8D62D6" w:rsidR="00800266" w:rsidRDefault="0080026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case of implicit BFD-RS on a CORESET with 2 active TCI states, RAN1 has requested RAN4 to decide how radio link quality for RLM/BFD are calculated. </w:t>
      </w:r>
    </w:p>
    <w:p w14:paraId="0715A3A2" w14:textId="0216E16B" w:rsidR="00800266" w:rsidRDefault="004D68B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4D68B5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23231779" wp14:editId="4D063472">
            <wp:extent cx="5943600" cy="2666365"/>
            <wp:effectExtent l="12700" t="12700" r="12700" b="1333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63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2D27DD8" w14:textId="20329540" w:rsidR="004D68B5" w:rsidRDefault="004D68B5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F947132" w14:textId="687A2642" w:rsidR="004D68B5" w:rsidRDefault="004C77F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implicit BFD RS when UE is not configured RS in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eastAsia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en-GB"/>
              </w:rPr>
              <m:t>0</m:t>
            </m:r>
          </m:sub>
        </m:sSub>
      </m:oMath>
      <w:r w:rsidR="00D62736">
        <w:rPr>
          <w:rFonts w:eastAsia="SimSun"/>
          <w:sz w:val="20"/>
          <w:szCs w:val="20"/>
          <w:lang w:val="en-GB" w:eastAsia="en-GB"/>
        </w:rPr>
        <w:t xml:space="preserve">  </w:t>
      </w:r>
      <w:r>
        <w:rPr>
          <w:rFonts w:eastAsia="SimSun"/>
          <w:sz w:val="20"/>
          <w:szCs w:val="20"/>
          <w:lang w:val="en-GB" w:eastAsia="en-GB"/>
        </w:rPr>
        <w:t xml:space="preserve"> set, it uses the </w:t>
      </w:r>
      <w:r w:rsidR="00584562">
        <w:rPr>
          <w:rFonts w:eastAsia="SimSun"/>
          <w:sz w:val="20"/>
          <w:szCs w:val="20"/>
          <w:lang w:val="en-GB" w:eastAsia="en-GB"/>
        </w:rPr>
        <w:t xml:space="preserve">RS in the active CORESET as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eastAsia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en-GB"/>
              </w:rPr>
              <m:t>0</m:t>
            </m:r>
          </m:sub>
        </m:sSub>
      </m:oMath>
      <w:r w:rsidR="00584562">
        <w:rPr>
          <w:rFonts w:eastAsia="SimSun"/>
          <w:sz w:val="20"/>
          <w:szCs w:val="20"/>
          <w:lang w:val="en-GB" w:eastAsia="en-GB"/>
        </w:rPr>
        <w:t xml:space="preserve"> </w:t>
      </w:r>
      <w:r w:rsidR="00B03681">
        <w:rPr>
          <w:rFonts w:eastAsia="SimSun"/>
          <w:sz w:val="20"/>
          <w:szCs w:val="20"/>
          <w:lang w:val="en-GB" w:eastAsia="en-GB"/>
        </w:rPr>
        <w:t xml:space="preserve">. </w:t>
      </w:r>
      <w:r w:rsidR="00584562">
        <w:rPr>
          <w:rFonts w:eastAsia="SimSun"/>
          <w:sz w:val="20"/>
          <w:szCs w:val="20"/>
          <w:lang w:val="en-GB" w:eastAsia="en-GB"/>
        </w:rPr>
        <w:t xml:space="preserve">For HST enhancements, the CORESET could have up to 2 active TCI states. </w:t>
      </w:r>
      <w:r w:rsidR="00753BF4">
        <w:rPr>
          <w:rFonts w:eastAsia="SimSun"/>
          <w:sz w:val="20"/>
          <w:szCs w:val="20"/>
          <w:lang w:val="en-GB" w:eastAsia="en-GB"/>
        </w:rPr>
        <w:t xml:space="preserve">For BFD to be declared all the quality of RS in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eastAsia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en-GB"/>
              </w:rPr>
              <m:t>0</m:t>
            </m:r>
          </m:sub>
        </m:sSub>
      </m:oMath>
      <w:r w:rsidR="00B03681">
        <w:rPr>
          <w:rFonts w:eastAsia="SimSun"/>
          <w:sz w:val="20"/>
          <w:szCs w:val="20"/>
          <w:lang w:val="en-GB" w:eastAsia="en-GB"/>
        </w:rPr>
        <w:t xml:space="preserve"> </w:t>
      </w:r>
      <w:r w:rsidR="00753BF4">
        <w:rPr>
          <w:rFonts w:eastAsia="SimSun"/>
          <w:sz w:val="20"/>
          <w:szCs w:val="20"/>
          <w:vertAlign w:val="subscript"/>
          <w:lang w:val="en-GB" w:eastAsia="en-GB"/>
        </w:rPr>
        <w:t xml:space="preserve"> </w:t>
      </w:r>
      <w:r w:rsidR="00753BF4">
        <w:rPr>
          <w:rFonts w:eastAsia="SimSun"/>
          <w:sz w:val="20"/>
          <w:szCs w:val="20"/>
          <w:lang w:val="en-GB" w:eastAsia="en-GB"/>
        </w:rPr>
        <w:t xml:space="preserve">set need to be below the threshold set by hypothetical PDCCH BLER. The SINR and quality of </w:t>
      </w:r>
      <w:r w:rsidR="00A548B4">
        <w:rPr>
          <w:rFonts w:eastAsia="SimSun"/>
          <w:sz w:val="20"/>
          <w:szCs w:val="20"/>
          <w:lang w:val="en-GB" w:eastAsia="en-GB"/>
        </w:rPr>
        <w:t>the RS</w:t>
      </w:r>
      <w:r w:rsidR="00753BF4">
        <w:rPr>
          <w:rFonts w:eastAsia="SimSun"/>
          <w:sz w:val="20"/>
          <w:szCs w:val="20"/>
          <w:lang w:val="en-GB" w:eastAsia="en-GB"/>
        </w:rPr>
        <w:t xml:space="preserve"> from each TRP should be considered in BFD evaluation as they are independent. </w:t>
      </w:r>
      <w:r w:rsidR="00A548B4">
        <w:rPr>
          <w:rFonts w:eastAsia="SimSun"/>
          <w:sz w:val="20"/>
          <w:szCs w:val="20"/>
          <w:lang w:val="en-GB" w:eastAsia="en-GB"/>
        </w:rPr>
        <w:t xml:space="preserve">With option 2 if the UE has to evaluate RLM/BFD based on a single hypothetical PDCCH BLER, it will need to treat the pair of </w:t>
      </w:r>
      <w:proofErr w:type="gramStart"/>
      <w:r w:rsidR="00A548B4">
        <w:rPr>
          <w:rFonts w:eastAsia="SimSun"/>
          <w:sz w:val="20"/>
          <w:szCs w:val="20"/>
          <w:lang w:val="en-GB" w:eastAsia="en-GB"/>
        </w:rPr>
        <w:t>RS</w:t>
      </w:r>
      <w:proofErr w:type="gramEnd"/>
      <w:r w:rsidR="00A548B4">
        <w:rPr>
          <w:rFonts w:eastAsia="SimSun"/>
          <w:sz w:val="20"/>
          <w:szCs w:val="20"/>
          <w:lang w:val="en-GB" w:eastAsia="en-GB"/>
        </w:rPr>
        <w:t xml:space="preserve"> in its active TCI state together. </w:t>
      </w:r>
      <w:r w:rsidR="009A6AD7">
        <w:rPr>
          <w:rFonts w:eastAsia="SimSun"/>
          <w:sz w:val="20"/>
          <w:szCs w:val="20"/>
          <w:lang w:val="en-GB" w:eastAsia="en-GB"/>
        </w:rPr>
        <w:t xml:space="preserve"> </w:t>
      </w:r>
      <w:r w:rsidR="00A548B4">
        <w:rPr>
          <w:rFonts w:eastAsia="SimSun"/>
          <w:sz w:val="20"/>
          <w:szCs w:val="20"/>
          <w:lang w:val="en-GB" w:eastAsia="en-GB"/>
        </w:rPr>
        <w:t xml:space="preserve">With option 1, the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eastAsia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</m:ctrlPr>
              </m:acc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en-GB"/>
              </w:rPr>
              <m:t>0</m:t>
            </m:r>
          </m:sub>
        </m:sSub>
      </m:oMath>
      <w:r w:rsidR="00D62736">
        <w:rPr>
          <w:rFonts w:eastAsia="SimSun"/>
          <w:sz w:val="20"/>
          <w:szCs w:val="20"/>
          <w:lang w:val="en-GB" w:eastAsia="en-GB"/>
        </w:rPr>
        <w:t xml:space="preserve">  </w:t>
      </w:r>
      <w:r w:rsidR="00A548B4">
        <w:rPr>
          <w:rFonts w:eastAsia="SimSun"/>
          <w:sz w:val="20"/>
          <w:szCs w:val="20"/>
          <w:lang w:val="en-GB" w:eastAsia="en-GB"/>
        </w:rPr>
        <w:t xml:space="preserve"> set is made up of the RSs in its active TCI state and both would be evaluated for BFD. </w:t>
      </w:r>
      <w:r w:rsidR="00753BF4">
        <w:rPr>
          <w:rFonts w:eastAsia="SimSun"/>
          <w:sz w:val="20"/>
          <w:szCs w:val="20"/>
          <w:lang w:val="en-GB" w:eastAsia="en-GB"/>
        </w:rPr>
        <w:t xml:space="preserve">Hence, option 1 above is </w:t>
      </w:r>
      <w:r w:rsidR="00A548B4">
        <w:rPr>
          <w:rFonts w:eastAsia="SimSun"/>
          <w:sz w:val="20"/>
          <w:szCs w:val="20"/>
          <w:lang w:val="en-GB" w:eastAsia="en-GB"/>
        </w:rPr>
        <w:t>preferred</w:t>
      </w:r>
      <w:r w:rsidR="00753BF4">
        <w:rPr>
          <w:rFonts w:eastAsia="SimSun"/>
          <w:sz w:val="20"/>
          <w:szCs w:val="20"/>
          <w:lang w:val="en-GB" w:eastAsia="en-GB"/>
        </w:rPr>
        <w:t xml:space="preserve"> for implicit BFD. </w:t>
      </w:r>
    </w:p>
    <w:p w14:paraId="394A4950" w14:textId="2070E0FC" w:rsidR="00A548B4" w:rsidRDefault="00A548B4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48569B">
        <w:rPr>
          <w:rFonts w:eastAsia="SimSun"/>
          <w:b/>
          <w:bCs/>
          <w:sz w:val="20"/>
          <w:szCs w:val="20"/>
          <w:lang w:val="en-GB" w:eastAsia="en-GB"/>
        </w:rPr>
        <w:t>4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</w:t>
      </w:r>
      <w:r w:rsidR="00D62736" w:rsidRPr="00D62736">
        <w:rPr>
          <w:rFonts w:eastAsia="SimSun"/>
          <w:b/>
          <w:bCs/>
          <w:sz w:val="20"/>
          <w:szCs w:val="20"/>
          <w:lang w:eastAsia="en-GB"/>
        </w:rPr>
        <w:t xml:space="preserve">For a CORESET with two activated TCI states, two RS indexes are included in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b/>
                    <w:bCs/>
                    <w:sz w:val="20"/>
                    <w:szCs w:val="20"/>
                    <w:lang w:eastAsia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en-GB"/>
              </w:rPr>
              <m:t>0</m:t>
            </m:r>
          </m:sub>
        </m:sSub>
        <m:r>
          <m:rPr>
            <m:sty m:val="bi"/>
          </m:rPr>
          <w:rPr>
            <w:rFonts w:ascii="Cambria Math" w:eastAsia="SimSun" w:hAnsi="Cambria Math"/>
            <w:sz w:val="20"/>
            <w:szCs w:val="20"/>
            <w:lang w:eastAsia="en-GB"/>
          </w:rPr>
          <m:t xml:space="preserve"> </m:t>
        </m:r>
      </m:oMath>
      <w:r w:rsidR="00D62736" w:rsidRPr="00D62736">
        <w:rPr>
          <w:rFonts w:eastAsia="SimSun"/>
          <w:b/>
          <w:bCs/>
          <w:sz w:val="20"/>
          <w:szCs w:val="20"/>
          <w:lang w:eastAsia="en-GB"/>
        </w:rPr>
        <w:t>(as two BFD RS resources)</w:t>
      </w:r>
      <w:r w:rsidR="00D62736">
        <w:rPr>
          <w:rFonts w:eastAsia="SimSun"/>
          <w:b/>
          <w:bCs/>
          <w:sz w:val="20"/>
          <w:szCs w:val="20"/>
          <w:lang w:eastAsia="en-GB"/>
        </w:rPr>
        <w:t xml:space="preserve"> for </w:t>
      </w:r>
      <w:r w:rsidR="00B03681">
        <w:rPr>
          <w:rFonts w:eastAsia="SimSun"/>
          <w:b/>
          <w:bCs/>
          <w:sz w:val="20"/>
          <w:szCs w:val="20"/>
          <w:lang w:eastAsia="en-GB"/>
        </w:rPr>
        <w:t>implicit</w:t>
      </w:r>
      <w:r w:rsidR="00D62736">
        <w:rPr>
          <w:rFonts w:eastAsia="SimSun"/>
          <w:b/>
          <w:bCs/>
          <w:sz w:val="20"/>
          <w:szCs w:val="20"/>
          <w:lang w:eastAsia="en-GB"/>
        </w:rPr>
        <w:t xml:space="preserve"> BFD</w:t>
      </w:r>
      <w:r w:rsidR="00D62736" w:rsidRPr="00D62736">
        <w:rPr>
          <w:rFonts w:eastAsia="SimSun"/>
          <w:b/>
          <w:bCs/>
          <w:sz w:val="20"/>
          <w:szCs w:val="20"/>
          <w:lang w:eastAsia="en-GB"/>
        </w:rPr>
        <w:t>.</w:t>
      </w:r>
    </w:p>
    <w:p w14:paraId="5C5BD5DD" w14:textId="77777777" w:rsidR="00D62736" w:rsidRPr="00D62736" w:rsidRDefault="00D6273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26FE0411" w:rsidR="009F52D7" w:rsidRPr="005B410D" w:rsidRDefault="009F52D7" w:rsidP="005B410D">
      <w:pPr>
        <w:spacing w:after="120"/>
        <w:rPr>
          <w:sz w:val="20"/>
          <w:szCs w:val="20"/>
        </w:rPr>
      </w:pPr>
      <w:r w:rsidRPr="008467C2">
        <w:rPr>
          <w:sz w:val="20"/>
          <w:szCs w:val="20"/>
        </w:rPr>
        <w:t xml:space="preserve">In this paper, we provide our views on </w:t>
      </w:r>
      <w:r w:rsidR="008467C2" w:rsidRPr="008467C2">
        <w:rPr>
          <w:sz w:val="20"/>
          <w:szCs w:val="20"/>
        </w:rPr>
        <w:t xml:space="preserve">other RRM requirements for </w:t>
      </w:r>
      <w:proofErr w:type="spellStart"/>
      <w:r w:rsidR="008467C2" w:rsidRPr="008467C2">
        <w:rPr>
          <w:sz w:val="20"/>
          <w:szCs w:val="20"/>
        </w:rPr>
        <w:t>FeMIMO</w:t>
      </w:r>
      <w:proofErr w:type="spellEnd"/>
      <w:r w:rsidRPr="008467C2">
        <w:rPr>
          <w:sz w:val="20"/>
          <w:szCs w:val="20"/>
        </w:rPr>
        <w:t>. Our observations and proposals are captured below:</w:t>
      </w:r>
    </w:p>
    <w:p w14:paraId="3388646E" w14:textId="57949A0B" w:rsidR="008467C2" w:rsidRPr="008467C2" w:rsidRDefault="008467C2" w:rsidP="008467C2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8467C2">
        <w:rPr>
          <w:rFonts w:eastAsia="SimSun"/>
          <w:b/>
          <w:bCs/>
          <w:sz w:val="20"/>
          <w:szCs w:val="20"/>
          <w:u w:val="single"/>
          <w:lang w:eastAsia="en-GB"/>
        </w:rPr>
        <w:t>QCL Definition</w:t>
      </w:r>
    </w:p>
    <w:p w14:paraId="2C12EDE0" w14:textId="329FB250" w:rsidR="008467C2" w:rsidRPr="00F622D1" w:rsidRDefault="008467C2" w:rsidP="008467C2">
      <w:pPr>
        <w:spacing w:after="120"/>
        <w:rPr>
          <w:rFonts w:eastAsia="SimSun"/>
          <w:sz w:val="20"/>
          <w:szCs w:val="20"/>
          <w:lang w:eastAsia="en-GB"/>
        </w:rPr>
      </w:pPr>
      <w:r w:rsidRPr="00F622D1"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eastAsia="en-GB"/>
        </w:rPr>
        <w:t>1</w:t>
      </w:r>
      <w:r w:rsidRPr="00F622D1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: </w:t>
      </w:r>
      <w:r w:rsidRPr="00F622D1">
        <w:rPr>
          <w:rFonts w:eastAsia="SimSun"/>
          <w:i/>
          <w:iCs/>
          <w:sz w:val="20"/>
          <w:szCs w:val="20"/>
          <w:lang w:eastAsia="en-GB"/>
        </w:rPr>
        <w:t>Currently</w:t>
      </w:r>
      <w:r w:rsidRPr="00F622D1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 </w:t>
      </w:r>
      <w:r w:rsidRPr="00F622D1">
        <w:rPr>
          <w:rFonts w:eastAsia="SimSun"/>
          <w:i/>
          <w:iCs/>
          <w:sz w:val="20"/>
          <w:szCs w:val="20"/>
          <w:lang w:eastAsia="en-GB"/>
        </w:rPr>
        <w:t>the definition of QCL is only applicable to PDSCH and PDCCH.</w:t>
      </w:r>
      <w:r w:rsidRPr="00F622D1">
        <w:rPr>
          <w:rFonts w:eastAsia="SimSun"/>
          <w:sz w:val="20"/>
          <w:szCs w:val="20"/>
          <w:lang w:eastAsia="en-GB"/>
        </w:rPr>
        <w:t xml:space="preserve"> </w:t>
      </w:r>
    </w:p>
    <w:p w14:paraId="6D3C8808" w14:textId="5BE74775" w:rsidR="008467C2" w:rsidRDefault="008467C2" w:rsidP="008467C2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#2: Update TCI chain definition to include SRS</w:t>
      </w:r>
      <w:r w:rsidR="00CC6789">
        <w:rPr>
          <w:rFonts w:eastAsia="SimSun"/>
          <w:b/>
          <w:bCs/>
          <w:sz w:val="20"/>
          <w:szCs w:val="20"/>
          <w:lang w:eastAsia="en-GB"/>
        </w:rPr>
        <w:t xml:space="preserve"> </w:t>
      </w:r>
      <w:r w:rsidR="00CC6789">
        <w:rPr>
          <w:rFonts w:eastAsia="SimSun"/>
          <w:b/>
          <w:bCs/>
          <w:sz w:val="20"/>
          <w:szCs w:val="20"/>
          <w:lang w:eastAsia="en-GB"/>
        </w:rPr>
        <w:t>and for PUCCH/PUSCH</w:t>
      </w:r>
      <w:r>
        <w:rPr>
          <w:rFonts w:eastAsia="SimSun"/>
          <w:b/>
          <w:bCs/>
          <w:sz w:val="20"/>
          <w:szCs w:val="20"/>
          <w:lang w:eastAsia="en-GB"/>
        </w:rPr>
        <w:t>.</w:t>
      </w:r>
    </w:p>
    <w:p w14:paraId="79222873" w14:textId="3DFB9EA1" w:rsidR="008467C2" w:rsidRPr="008467C2" w:rsidRDefault="008467C2" w:rsidP="008467C2">
      <w:pPr>
        <w:spacing w:after="120"/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TRP specific BFR</w:t>
      </w:r>
    </w:p>
    <w:p w14:paraId="463B9D0F" w14:textId="7AE688FC" w:rsidR="008467C2" w:rsidRDefault="008467C2" w:rsidP="008467C2">
      <w:pPr>
        <w:spacing w:after="120"/>
        <w:rPr>
          <w:i/>
          <w:iCs/>
          <w:lang w:val="en-GB"/>
        </w:rPr>
      </w:pPr>
      <w:r>
        <w:rPr>
          <w:b/>
          <w:bCs/>
          <w:i/>
          <w:iCs/>
          <w:lang w:val="en-GB"/>
        </w:rPr>
        <w:lastRenderedPageBreak/>
        <w:t xml:space="preserve">Observation #2: </w:t>
      </w:r>
      <w:r>
        <w:rPr>
          <w:i/>
          <w:iCs/>
          <w:lang w:val="en-GB"/>
        </w:rPr>
        <w:t xml:space="preserve">In FR2 if UE doesn’t support simultaneous reception with multi-panel and BFD-RS / CBD-RS from TRPs are not </w:t>
      </w:r>
      <w:proofErr w:type="spellStart"/>
      <w:r>
        <w:rPr>
          <w:i/>
          <w:iCs/>
          <w:lang w:val="en-GB"/>
        </w:rPr>
        <w:t>TDMed</w:t>
      </w:r>
      <w:proofErr w:type="spellEnd"/>
      <w:r>
        <w:rPr>
          <w:i/>
          <w:iCs/>
          <w:lang w:val="en-GB"/>
        </w:rPr>
        <w:t>, BFD and CBD requirements need to be enhanced.</w:t>
      </w:r>
    </w:p>
    <w:p w14:paraId="78050F8E" w14:textId="77777777" w:rsidR="008467C2" w:rsidRPr="008963D9" w:rsidRDefault="008467C2" w:rsidP="008467C2">
      <w:pPr>
        <w:spacing w:after="120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#3: Introduce sharing factor for BFD and CBD evaluation period in FR2 </w:t>
      </w:r>
      <w:r w:rsidRPr="006F5582">
        <w:rPr>
          <w:b/>
          <w:bCs/>
          <w:lang w:val="en-GB"/>
        </w:rPr>
        <w:t>when BFD-RS or CBD-RS are received simultaneously from 2 TRP</w:t>
      </w:r>
      <w:r>
        <w:rPr>
          <w:b/>
          <w:bCs/>
          <w:lang w:val="en-GB"/>
        </w:rPr>
        <w:t xml:space="preserve">. </w:t>
      </w:r>
    </w:p>
    <w:p w14:paraId="45E49C29" w14:textId="0B87362A" w:rsidR="008467C2" w:rsidRPr="008467C2" w:rsidRDefault="008467C2" w:rsidP="008467C2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BFD for HST Enhancements</w:t>
      </w:r>
    </w:p>
    <w:p w14:paraId="7532A2E2" w14:textId="7901674B" w:rsidR="008467C2" w:rsidRDefault="008467C2" w:rsidP="008467C2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</w:t>
      </w:r>
      <w:r w:rsidRPr="00D62736">
        <w:rPr>
          <w:rFonts w:eastAsia="SimSun"/>
          <w:b/>
          <w:bCs/>
          <w:sz w:val="20"/>
          <w:szCs w:val="20"/>
          <w:lang w:eastAsia="en-GB"/>
        </w:rPr>
        <w:t xml:space="preserve">For a CORESET with two activated TCI states, two RS indexes are included in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b/>
                    <w:bCs/>
                    <w:sz w:val="20"/>
                    <w:szCs w:val="20"/>
                    <w:lang w:eastAsia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en-GB"/>
              </w:rPr>
              <m:t>0</m:t>
            </m:r>
          </m:sub>
        </m:sSub>
        <m:r>
          <m:rPr>
            <m:sty m:val="bi"/>
          </m:rPr>
          <w:rPr>
            <w:rFonts w:ascii="Cambria Math" w:eastAsia="SimSun" w:hAnsi="Cambria Math"/>
            <w:sz w:val="20"/>
            <w:szCs w:val="20"/>
            <w:lang w:eastAsia="en-GB"/>
          </w:rPr>
          <m:t xml:space="preserve"> </m:t>
        </m:r>
      </m:oMath>
      <w:r w:rsidRPr="00D62736">
        <w:rPr>
          <w:rFonts w:eastAsia="SimSun"/>
          <w:b/>
          <w:bCs/>
          <w:sz w:val="20"/>
          <w:szCs w:val="20"/>
          <w:lang w:eastAsia="en-GB"/>
        </w:rPr>
        <w:t>(as two BFD RS resources)</w:t>
      </w:r>
      <w:r>
        <w:rPr>
          <w:rFonts w:eastAsia="SimSun"/>
          <w:b/>
          <w:bCs/>
          <w:sz w:val="20"/>
          <w:szCs w:val="20"/>
          <w:lang w:eastAsia="en-GB"/>
        </w:rPr>
        <w:t xml:space="preserve"> for implicit BFD</w:t>
      </w:r>
      <w:r w:rsidRPr="00D62736">
        <w:rPr>
          <w:rFonts w:eastAsia="SimSun"/>
          <w:b/>
          <w:bCs/>
          <w:sz w:val="20"/>
          <w:szCs w:val="20"/>
          <w:lang w:eastAsia="en-GB"/>
        </w:rPr>
        <w:t>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0E603A" w:rsidRDefault="009F52D7" w:rsidP="009F52D7">
      <w:pPr>
        <w:pStyle w:val="Heading1"/>
        <w:ind w:left="432" w:hanging="432"/>
        <w:rPr>
          <w:lang w:val="en-US"/>
        </w:rPr>
      </w:pPr>
      <w:r w:rsidRPr="000E603A">
        <w:rPr>
          <w:lang w:val="en-US"/>
        </w:rPr>
        <w:t>Reference</w:t>
      </w:r>
    </w:p>
    <w:p w14:paraId="509A2F1D" w14:textId="62025C14" w:rsidR="00C94AC7" w:rsidRPr="000E603A" w:rsidRDefault="00822C76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E603A">
        <w:rPr>
          <w:rFonts w:ascii="Times New Roman" w:hAnsi="Times New Roman" w:cs="Times New Roman"/>
          <w:sz w:val="20"/>
          <w:szCs w:val="20"/>
        </w:rPr>
        <w:t>R4-2120322</w:t>
      </w:r>
      <w:r w:rsidR="00C94AC7" w:rsidRPr="000E603A">
        <w:rPr>
          <w:rFonts w:ascii="Times New Roman" w:hAnsi="Times New Roman" w:cs="Times New Roman"/>
          <w:sz w:val="20"/>
          <w:szCs w:val="20"/>
        </w:rPr>
        <w:t>, “</w:t>
      </w:r>
      <w:r w:rsidRPr="000E603A">
        <w:rPr>
          <w:rFonts w:ascii="Times New Roman" w:eastAsiaTheme="minorEastAsia" w:hAnsi="Times New Roman"/>
          <w:sz w:val="20"/>
        </w:rPr>
        <w:t xml:space="preserve">WF on other </w:t>
      </w:r>
      <w:proofErr w:type="spellStart"/>
      <w:r w:rsidRPr="000E603A">
        <w:rPr>
          <w:rFonts w:ascii="Times New Roman" w:eastAsiaTheme="minorEastAsia" w:hAnsi="Times New Roman"/>
          <w:sz w:val="20"/>
        </w:rPr>
        <w:t>FeMIMO</w:t>
      </w:r>
      <w:proofErr w:type="spellEnd"/>
      <w:r w:rsidRPr="000E603A">
        <w:rPr>
          <w:rFonts w:ascii="Times New Roman" w:eastAsiaTheme="minorEastAsia" w:hAnsi="Times New Roman"/>
          <w:sz w:val="20"/>
        </w:rPr>
        <w:t xml:space="preserve"> RRM requirements</w:t>
      </w:r>
      <w:r w:rsidR="00C94AC7" w:rsidRPr="000E603A">
        <w:rPr>
          <w:rFonts w:ascii="Times New Roman" w:hAnsi="Times New Roman" w:cs="Times New Roman"/>
          <w:sz w:val="20"/>
          <w:szCs w:val="20"/>
        </w:rPr>
        <w:t xml:space="preserve">”, </w:t>
      </w:r>
      <w:r w:rsidRPr="000E603A">
        <w:rPr>
          <w:rFonts w:ascii="Times New Roman" w:hAnsi="Times New Roman" w:cs="Times New Roman"/>
          <w:sz w:val="20"/>
          <w:szCs w:val="20"/>
        </w:rPr>
        <w:t>Samsung</w:t>
      </w:r>
      <w:r w:rsidR="00C94AC7" w:rsidRPr="000E603A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F936301" w14:textId="4D28473F" w:rsidR="000E603A" w:rsidRPr="000E603A" w:rsidRDefault="000E603A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92209000"/>
      <w:r w:rsidRPr="00760539">
        <w:rPr>
          <w:rFonts w:ascii="Times New Roman" w:hAnsi="Times New Roman" w:cs="Times New Roman"/>
          <w:sz w:val="20"/>
          <w:szCs w:val="20"/>
        </w:rPr>
        <w:t>R4-2200046</w:t>
      </w:r>
      <w:bookmarkEnd w:id="2"/>
      <w:r w:rsidRPr="000E603A">
        <w:rPr>
          <w:rFonts w:ascii="Times New Roman" w:hAnsi="Times New Roman" w:cs="Times New Roman"/>
          <w:sz w:val="20"/>
          <w:szCs w:val="20"/>
        </w:rPr>
        <w:t>, “LS on BFR for CORESET with two activated TCI states”, RAN WG1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1E346DE"/>
    <w:multiLevelType w:val="hybridMultilevel"/>
    <w:tmpl w:val="E4A8B1C4"/>
    <w:lvl w:ilvl="0" w:tplc="F2F4329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48F35657"/>
    <w:multiLevelType w:val="hybridMultilevel"/>
    <w:tmpl w:val="40183ED8"/>
    <w:lvl w:ilvl="0" w:tplc="E08A9BD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43D5352"/>
    <w:multiLevelType w:val="hybridMultilevel"/>
    <w:tmpl w:val="8D02E70A"/>
    <w:lvl w:ilvl="0" w:tplc="4AF896A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237AE"/>
    <w:rsid w:val="000E603A"/>
    <w:rsid w:val="00121828"/>
    <w:rsid w:val="00177147"/>
    <w:rsid w:val="001B5D0A"/>
    <w:rsid w:val="001C663E"/>
    <w:rsid w:val="002870EA"/>
    <w:rsid w:val="002F4FA3"/>
    <w:rsid w:val="0040333E"/>
    <w:rsid w:val="00403ECA"/>
    <w:rsid w:val="00462201"/>
    <w:rsid w:val="0048569B"/>
    <w:rsid w:val="004C77F4"/>
    <w:rsid w:val="004D1584"/>
    <w:rsid w:val="004D68B5"/>
    <w:rsid w:val="0057184D"/>
    <w:rsid w:val="00584562"/>
    <w:rsid w:val="005B410D"/>
    <w:rsid w:val="005D1B1F"/>
    <w:rsid w:val="00623D9F"/>
    <w:rsid w:val="00626BDE"/>
    <w:rsid w:val="006B3B51"/>
    <w:rsid w:val="00753BF4"/>
    <w:rsid w:val="00771520"/>
    <w:rsid w:val="007A3BE1"/>
    <w:rsid w:val="007C626C"/>
    <w:rsid w:val="00800266"/>
    <w:rsid w:val="00822C76"/>
    <w:rsid w:val="008467C2"/>
    <w:rsid w:val="00924CB2"/>
    <w:rsid w:val="00951300"/>
    <w:rsid w:val="009A6AD7"/>
    <w:rsid w:val="009D596C"/>
    <w:rsid w:val="009F52D7"/>
    <w:rsid w:val="00A211CC"/>
    <w:rsid w:val="00A47A50"/>
    <w:rsid w:val="00A548B4"/>
    <w:rsid w:val="00B03681"/>
    <w:rsid w:val="00B8567C"/>
    <w:rsid w:val="00C94AC7"/>
    <w:rsid w:val="00CC6789"/>
    <w:rsid w:val="00CD0F63"/>
    <w:rsid w:val="00D62736"/>
    <w:rsid w:val="00DB6943"/>
    <w:rsid w:val="00DD6FD6"/>
    <w:rsid w:val="00DF1ED2"/>
    <w:rsid w:val="00E03274"/>
    <w:rsid w:val="00E052D0"/>
    <w:rsid w:val="00E5586A"/>
    <w:rsid w:val="00E9138B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E05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800266"/>
    <w:pPr>
      <w:spacing w:after="120"/>
    </w:pPr>
    <w:rPr>
      <w:rFonts w:ascii="Arial" w:eastAsia="Batang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00266"/>
    <w:rPr>
      <w:rFonts w:ascii="Arial" w:eastAsia="Batang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</cp:lastModifiedBy>
  <cp:revision>4</cp:revision>
  <dcterms:created xsi:type="dcterms:W3CDTF">2022-01-10T05:20:00Z</dcterms:created>
  <dcterms:modified xsi:type="dcterms:W3CDTF">2022-01-10T20:30:00Z</dcterms:modified>
</cp:coreProperties>
</file>